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30" w:rsidRDefault="005005E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u w:val="single"/>
          <w:lang w:val="es-ES"/>
        </w:rPr>
        <w:t xml:space="preserve">CUARTA </w:t>
      </w:r>
      <w:bookmarkStart w:id="0" w:name="Bookmark"/>
      <w:r>
        <w:rPr>
          <w:rFonts w:ascii="Arial" w:hAnsi="Arial"/>
          <w:sz w:val="24"/>
          <w:szCs w:val="24"/>
          <w:u w:val="single"/>
          <w:lang w:val="es-ES"/>
        </w:rPr>
        <w:t>SESIÓN ORDINARIA– ACTA NÚMERO MIL CUATROCIENTOS SETENTA Y CINCO (Nº 1475) – 03 DE ABRIL DE 2</w:t>
      </w:r>
      <w:r>
        <w:rPr>
          <w:rFonts w:ascii="Arial" w:hAnsi="Arial" w:cs="Arial"/>
          <w:sz w:val="24"/>
          <w:szCs w:val="24"/>
          <w:u w:val="single"/>
          <w:lang w:val="es-ES"/>
        </w:rPr>
        <w:t>020.-</w:t>
      </w:r>
    </w:p>
    <w:p w:rsidR="00E77530" w:rsidRDefault="00E77530">
      <w:pPr>
        <w:pStyle w:val="Standard"/>
        <w:spacing w:line="360" w:lineRule="auto"/>
        <w:ind w:left="-4600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En la ciudad de Casilda, al día tres del mes de Abril del año dos mil veinte, </w:t>
      </w:r>
      <w:r>
        <w:rPr>
          <w:rFonts w:ascii="Arial" w:hAnsi="Arial"/>
          <w:sz w:val="24"/>
          <w:szCs w:val="24"/>
          <w:lang w:val="es-ES"/>
        </w:rPr>
        <w:t xml:space="preserve">se reúnen en el Recinto de Sesiones del Concejo Municipal los Sres. Concejales: Mauricio </w:t>
      </w:r>
      <w:proofErr w:type="spellStart"/>
      <w:r>
        <w:rPr>
          <w:rFonts w:ascii="Arial" w:hAnsi="Arial"/>
          <w:sz w:val="24"/>
          <w:szCs w:val="24"/>
          <w:lang w:val="es-ES"/>
        </w:rPr>
        <w:t>Plancich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, Alberto </w:t>
      </w:r>
      <w:proofErr w:type="spellStart"/>
      <w:r>
        <w:rPr>
          <w:rFonts w:ascii="Arial" w:hAnsi="Arial"/>
          <w:sz w:val="24"/>
          <w:szCs w:val="24"/>
          <w:lang w:val="es-ES"/>
        </w:rPr>
        <w:t>Yualé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, Germán </w:t>
      </w:r>
      <w:proofErr w:type="spellStart"/>
      <w:r>
        <w:rPr>
          <w:rFonts w:ascii="Arial" w:hAnsi="Arial"/>
          <w:sz w:val="24"/>
          <w:szCs w:val="24"/>
          <w:lang w:val="es-ES"/>
        </w:rPr>
        <w:t>Zarantonello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, Manuela </w:t>
      </w:r>
      <w:proofErr w:type="spellStart"/>
      <w:r>
        <w:rPr>
          <w:rFonts w:ascii="Arial" w:hAnsi="Arial"/>
          <w:sz w:val="24"/>
          <w:szCs w:val="24"/>
          <w:lang w:val="es-ES"/>
        </w:rPr>
        <w:t>Bonis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, María Celina Arán, y Pedro </w:t>
      </w:r>
      <w:proofErr w:type="spellStart"/>
      <w:r>
        <w:rPr>
          <w:rFonts w:ascii="Arial" w:hAnsi="Arial"/>
          <w:sz w:val="24"/>
          <w:szCs w:val="24"/>
          <w:lang w:val="es-ES"/>
        </w:rPr>
        <w:t>Sanitá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para llevar a cabo la Sesión Ordinaria correspondiente al día señalado p</w:t>
      </w:r>
      <w:r>
        <w:rPr>
          <w:rFonts w:ascii="Arial" w:hAnsi="Arial"/>
          <w:sz w:val="24"/>
          <w:szCs w:val="24"/>
          <w:lang w:val="es-ES"/>
        </w:rPr>
        <w:t xml:space="preserve">recedentemente del año 2020, actúa como Presidente del Concejo, el Concejal Walter Palanca, y actúa como Secretaria, la Sra. </w:t>
      </w:r>
      <w:proofErr w:type="spellStart"/>
      <w:r>
        <w:rPr>
          <w:rFonts w:ascii="Arial" w:hAnsi="Arial"/>
          <w:sz w:val="24"/>
          <w:szCs w:val="24"/>
          <w:lang w:val="es-ES"/>
        </w:rPr>
        <w:t>Vanina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Zanetti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. Izan las Banderas de ceremonia los Concejales Mauricio </w:t>
      </w:r>
      <w:proofErr w:type="spellStart"/>
      <w:r>
        <w:rPr>
          <w:rFonts w:ascii="Arial" w:hAnsi="Arial"/>
          <w:sz w:val="24"/>
          <w:szCs w:val="24"/>
          <w:lang w:val="es-ES"/>
        </w:rPr>
        <w:t>Plancich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y Germán </w:t>
      </w:r>
      <w:proofErr w:type="spellStart"/>
      <w:r>
        <w:rPr>
          <w:rFonts w:ascii="Arial" w:hAnsi="Arial"/>
          <w:sz w:val="24"/>
          <w:szCs w:val="24"/>
          <w:lang w:val="es-ES"/>
        </w:rPr>
        <w:t>Zarantonello</w:t>
      </w:r>
      <w:proofErr w:type="spellEnd"/>
      <w:r>
        <w:rPr>
          <w:rFonts w:ascii="Arial" w:hAnsi="Arial"/>
          <w:sz w:val="24"/>
          <w:szCs w:val="24"/>
          <w:lang w:val="es-ES"/>
        </w:rPr>
        <w:t>. Siendo las 11:00 horas, el S</w:t>
      </w:r>
      <w:r>
        <w:rPr>
          <w:rFonts w:ascii="Arial" w:hAnsi="Arial"/>
          <w:sz w:val="24"/>
          <w:szCs w:val="24"/>
          <w:lang w:val="es-ES"/>
        </w:rPr>
        <w:t>r. Presidente declara abierta la Sesión, y según en resumen, se narra a continuación:</w:t>
      </w:r>
    </w:p>
    <w:p w:rsidR="00E77530" w:rsidRDefault="00E77530">
      <w:pPr>
        <w:pStyle w:val="Standard"/>
        <w:jc w:val="both"/>
        <w:rPr>
          <w:rFonts w:ascii="Arial" w:hAnsi="Arial"/>
          <w:sz w:val="24"/>
          <w:szCs w:val="24"/>
          <w:u w:val="single"/>
        </w:rPr>
      </w:pP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razones de seguridad y resguardo; y en consonancia con las medidas existentes a  nivel naciona</w:t>
      </w:r>
      <w:r w:rsidR="00DB2B48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, provincial y local ante la Pandemia por COVID-19, las sesiones se rea</w:t>
      </w:r>
      <w:r>
        <w:rPr>
          <w:rFonts w:ascii="Arial" w:hAnsi="Arial"/>
          <w:sz w:val="24"/>
          <w:szCs w:val="24"/>
        </w:rPr>
        <w:t>lizan sin presencia de público.-</w:t>
      </w:r>
    </w:p>
    <w:p w:rsidR="00E77530" w:rsidRDefault="00E77530">
      <w:pPr>
        <w:pStyle w:val="Standard"/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77530" w:rsidRDefault="005005E8">
      <w:pPr>
        <w:pStyle w:val="Standard"/>
      </w:pPr>
      <w:r>
        <w:t xml:space="preserve"> </w:t>
      </w:r>
      <w:r>
        <w:rPr>
          <w:rFonts w:ascii="Arial" w:hAnsi="Arial"/>
          <w:sz w:val="24"/>
          <w:szCs w:val="24"/>
        </w:rPr>
        <w:t xml:space="preserve">Acta de la Sesión Anterior. </w:t>
      </w:r>
      <w:r>
        <w:rPr>
          <w:rFonts w:ascii="Arial" w:hAnsi="Arial"/>
          <w:sz w:val="24"/>
          <w:szCs w:val="24"/>
        </w:rPr>
        <w:t>Aprobada por unanimidad.-</w:t>
      </w:r>
    </w:p>
    <w:p w:rsidR="00E77530" w:rsidRDefault="00E77530">
      <w:pPr>
        <w:pStyle w:val="Standard"/>
        <w:rPr>
          <w:rFonts w:ascii="Arial" w:hAnsi="Arial"/>
          <w:sz w:val="24"/>
          <w:szCs w:val="24"/>
        </w:rPr>
      </w:pPr>
    </w:p>
    <w:p w:rsidR="00E77530" w:rsidRDefault="00E77530">
      <w:pPr>
        <w:pStyle w:val="Standard"/>
        <w:rPr>
          <w:rFonts w:ascii="Arial" w:hAnsi="Arial"/>
          <w:sz w:val="24"/>
          <w:szCs w:val="24"/>
        </w:rPr>
      </w:pPr>
    </w:p>
    <w:p w:rsidR="00E77530" w:rsidRDefault="005005E8">
      <w:pPr>
        <w:pStyle w:val="Standard"/>
        <w:spacing w:line="36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CORRESPONDENCIA DEL DEPARTAMENTO EJECUTIVO MUNICIPAL</w:t>
      </w:r>
    </w:p>
    <w:p w:rsidR="00E77530" w:rsidRDefault="005005E8" w:rsidP="00DB2B48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Proyecto de Ordenanza Nro. 011/20, mediante el cual se autoriza al DEM a realizar canje de valores con la empres</w:t>
      </w:r>
      <w:r>
        <w:rPr>
          <w:rFonts w:ascii="Arial" w:hAnsi="Arial"/>
          <w:sz w:val="24"/>
          <w:szCs w:val="24"/>
        </w:rPr>
        <w:t xml:space="preserve">a </w:t>
      </w:r>
      <w:proofErr w:type="spellStart"/>
      <w:r>
        <w:rPr>
          <w:rFonts w:ascii="Arial" w:hAnsi="Arial"/>
          <w:sz w:val="24"/>
          <w:szCs w:val="24"/>
        </w:rPr>
        <w:t>Gherardi</w:t>
      </w:r>
      <w:proofErr w:type="spellEnd"/>
      <w:r>
        <w:rPr>
          <w:rFonts w:ascii="Arial" w:hAnsi="Arial"/>
          <w:sz w:val="24"/>
          <w:szCs w:val="24"/>
        </w:rPr>
        <w:t xml:space="preserve"> e Hijos S.A., a efectos de que la misma cuente con efectivo a fin de abonar sueldos. Pasa a estudio de comisión en cuarto intermedio.-</w:t>
      </w:r>
    </w:p>
    <w:p w:rsidR="00E77530" w:rsidRDefault="00E77530">
      <w:pPr>
        <w:pStyle w:val="Standard"/>
        <w:spacing w:line="360" w:lineRule="auto"/>
        <w:rPr>
          <w:rFonts w:ascii="Arial" w:hAnsi="Arial"/>
          <w:sz w:val="24"/>
          <w:szCs w:val="24"/>
        </w:rPr>
      </w:pPr>
    </w:p>
    <w:p w:rsidR="00E77530" w:rsidRDefault="005005E8">
      <w:pPr>
        <w:pStyle w:val="Standard"/>
        <w:spacing w:line="36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DE LAS BANCADAS</w:t>
      </w: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Proyecto de Ordenanza, presentado por la Concejal</w:t>
      </w:r>
      <w:r w:rsidR="00DB2B48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de Fuerza Popular </w:t>
      </w:r>
      <w:proofErr w:type="spellStart"/>
      <w:r>
        <w:rPr>
          <w:rFonts w:ascii="Arial" w:hAnsi="Arial"/>
          <w:sz w:val="24"/>
          <w:szCs w:val="24"/>
        </w:rPr>
        <w:t>Casildense</w:t>
      </w:r>
      <w:proofErr w:type="spellEnd"/>
      <w:r>
        <w:rPr>
          <w:rFonts w:ascii="Arial" w:hAnsi="Arial"/>
          <w:sz w:val="24"/>
          <w:szCs w:val="24"/>
        </w:rPr>
        <w:t xml:space="preserve">, Manuela </w:t>
      </w:r>
      <w:proofErr w:type="spellStart"/>
      <w:r>
        <w:rPr>
          <w:rFonts w:ascii="Arial" w:hAnsi="Arial"/>
          <w:sz w:val="24"/>
          <w:szCs w:val="24"/>
        </w:rPr>
        <w:t>Bon</w:t>
      </w:r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, mediante el cual se sugiere al DEM instrumentar una modalidad </w:t>
      </w:r>
      <w:r>
        <w:rPr>
          <w:rFonts w:ascii="Arial" w:hAnsi="Arial"/>
          <w:sz w:val="24"/>
          <w:szCs w:val="24"/>
          <w:lang w:val="es-ES"/>
        </w:rPr>
        <w:t xml:space="preserve">de venta online y/ por medio de redes y </w:t>
      </w:r>
      <w:proofErr w:type="spellStart"/>
      <w:r>
        <w:rPr>
          <w:rFonts w:ascii="Arial" w:hAnsi="Arial"/>
          <w:sz w:val="24"/>
          <w:szCs w:val="24"/>
          <w:lang w:val="es-ES"/>
        </w:rPr>
        <w:t>WhatsApp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que incluya a todos los rubros de venta locales, centralizando la información de los comercios</w:t>
      </w:r>
      <w:r>
        <w:rPr>
          <w:rFonts w:ascii="Arial" w:hAnsi="Arial"/>
          <w:sz w:val="24"/>
          <w:szCs w:val="24"/>
        </w:rPr>
        <w:t xml:space="preserve">. Asimismo, solicita </w:t>
      </w:r>
      <w:r>
        <w:rPr>
          <w:rFonts w:ascii="Arial" w:hAnsi="Arial"/>
          <w:sz w:val="24"/>
          <w:szCs w:val="24"/>
          <w:lang w:val="es-ES"/>
        </w:rPr>
        <w:t xml:space="preserve">organizar el Reparto </w:t>
      </w:r>
      <w:r>
        <w:rPr>
          <w:rFonts w:ascii="Arial" w:hAnsi="Arial"/>
          <w:sz w:val="24"/>
          <w:szCs w:val="24"/>
          <w:lang w:val="es-ES"/>
        </w:rPr>
        <w:t xml:space="preserve">Seguro de los productos por medio de las empresas de </w:t>
      </w:r>
      <w:proofErr w:type="spellStart"/>
      <w:r>
        <w:rPr>
          <w:rFonts w:ascii="Arial" w:hAnsi="Arial"/>
          <w:sz w:val="24"/>
          <w:szCs w:val="24"/>
          <w:lang w:val="es-ES"/>
        </w:rPr>
        <w:t>Remises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y Radio Taxis locales.</w:t>
      </w:r>
      <w:r>
        <w:rPr>
          <w:rFonts w:ascii="Arial" w:hAnsi="Arial"/>
          <w:sz w:val="24"/>
          <w:szCs w:val="24"/>
        </w:rPr>
        <w:t xml:space="preserve"> Pasa a estudio de Comisión.-</w:t>
      </w:r>
    </w:p>
    <w:p w:rsidR="00E77530" w:rsidRDefault="00E77530">
      <w:pPr>
        <w:pStyle w:val="Standard"/>
        <w:rPr>
          <w:rFonts w:ascii="Arial" w:hAnsi="Arial"/>
          <w:sz w:val="24"/>
          <w:szCs w:val="24"/>
        </w:rPr>
      </w:pPr>
    </w:p>
    <w:p w:rsidR="00E77530" w:rsidRDefault="00E77530">
      <w:pPr>
        <w:pStyle w:val="Standard"/>
        <w:rPr>
          <w:rFonts w:ascii="Arial" w:hAnsi="Arial"/>
          <w:sz w:val="24"/>
          <w:szCs w:val="24"/>
          <w:u w:val="single"/>
        </w:rPr>
      </w:pP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DICTÁMENES DE COMISIÓN</w:t>
      </w: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(Se encuentra en vigencia la votación nominal)</w:t>
      </w: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Dictamen Nro. 3924/20, de la Comisión de Hacienda, aconsejando dar voto</w:t>
      </w:r>
      <w:r>
        <w:rPr>
          <w:rFonts w:ascii="Arial" w:hAnsi="Arial"/>
          <w:sz w:val="24"/>
          <w:szCs w:val="24"/>
        </w:rPr>
        <w:t xml:space="preserve"> favorable a un proyecto de ordenanza mediante el cual se autoriza al DEM a realizar canje de valores con la empresa </w:t>
      </w:r>
      <w:proofErr w:type="spellStart"/>
      <w:r>
        <w:rPr>
          <w:rFonts w:ascii="Arial" w:hAnsi="Arial"/>
          <w:sz w:val="24"/>
          <w:szCs w:val="24"/>
        </w:rPr>
        <w:t>Gherardi</w:t>
      </w:r>
      <w:proofErr w:type="spellEnd"/>
      <w:r>
        <w:rPr>
          <w:rFonts w:ascii="Arial" w:hAnsi="Arial"/>
          <w:sz w:val="24"/>
          <w:szCs w:val="24"/>
        </w:rPr>
        <w:t xml:space="preserve"> e Hijos S.A., a efectos de que la misma cuente con efectivo a fin de abonar sueldos.  Votan por la afirmativa los Concejales: Pedr</w:t>
      </w:r>
      <w:r>
        <w:rPr>
          <w:rFonts w:ascii="Arial" w:hAnsi="Arial"/>
          <w:sz w:val="24"/>
          <w:szCs w:val="24"/>
        </w:rPr>
        <w:t xml:space="preserve">o </w:t>
      </w:r>
      <w:proofErr w:type="spellStart"/>
      <w:r>
        <w:rPr>
          <w:rFonts w:ascii="Arial" w:hAnsi="Arial"/>
          <w:sz w:val="24"/>
          <w:szCs w:val="24"/>
        </w:rPr>
        <w:t>Sanitá</w:t>
      </w:r>
      <w:proofErr w:type="spellEnd"/>
      <w:r>
        <w:rPr>
          <w:rFonts w:ascii="Arial" w:hAnsi="Arial"/>
          <w:sz w:val="24"/>
          <w:szCs w:val="24"/>
        </w:rPr>
        <w:t xml:space="preserve">, María Celina Arán, Germán </w:t>
      </w:r>
      <w:proofErr w:type="spellStart"/>
      <w:r>
        <w:rPr>
          <w:rFonts w:ascii="Arial" w:hAnsi="Arial"/>
          <w:sz w:val="24"/>
          <w:szCs w:val="24"/>
        </w:rPr>
        <w:t>Zarantonello</w:t>
      </w:r>
      <w:proofErr w:type="spellEnd"/>
      <w:r>
        <w:rPr>
          <w:rFonts w:ascii="Arial" w:hAnsi="Arial"/>
          <w:sz w:val="24"/>
          <w:szCs w:val="24"/>
        </w:rPr>
        <w:t xml:space="preserve">, Mauricio </w:t>
      </w:r>
      <w:proofErr w:type="spellStart"/>
      <w:r>
        <w:rPr>
          <w:rFonts w:ascii="Arial" w:hAnsi="Arial"/>
          <w:sz w:val="24"/>
          <w:szCs w:val="24"/>
        </w:rPr>
        <w:t>Plancich</w:t>
      </w:r>
      <w:proofErr w:type="spellEnd"/>
      <w:r>
        <w:rPr>
          <w:rFonts w:ascii="Arial" w:hAnsi="Arial"/>
          <w:sz w:val="24"/>
          <w:szCs w:val="24"/>
        </w:rPr>
        <w:t xml:space="preserve">, Manuela </w:t>
      </w:r>
      <w:proofErr w:type="spellStart"/>
      <w:r>
        <w:rPr>
          <w:rFonts w:ascii="Arial" w:hAnsi="Arial"/>
          <w:sz w:val="24"/>
          <w:szCs w:val="24"/>
        </w:rPr>
        <w:t>Bonis</w:t>
      </w:r>
      <w:proofErr w:type="spellEnd"/>
      <w:r>
        <w:rPr>
          <w:rFonts w:ascii="Arial" w:hAnsi="Arial"/>
          <w:sz w:val="24"/>
          <w:szCs w:val="24"/>
        </w:rPr>
        <w:t xml:space="preserve">. Votan por la negativa los Concejales </w:t>
      </w:r>
      <w:r w:rsidR="00DB2B48">
        <w:rPr>
          <w:rFonts w:ascii="Arial" w:hAnsi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/>
          <w:sz w:val="24"/>
          <w:szCs w:val="24"/>
        </w:rPr>
        <w:t xml:space="preserve">Alberto </w:t>
      </w:r>
      <w:proofErr w:type="spellStart"/>
      <w:r>
        <w:rPr>
          <w:rFonts w:ascii="Arial" w:hAnsi="Arial"/>
          <w:sz w:val="24"/>
          <w:szCs w:val="24"/>
        </w:rPr>
        <w:t>Yualé</w:t>
      </w:r>
      <w:proofErr w:type="spellEnd"/>
      <w:r>
        <w:rPr>
          <w:rFonts w:ascii="Arial" w:hAnsi="Arial"/>
          <w:sz w:val="24"/>
          <w:szCs w:val="24"/>
        </w:rPr>
        <w:t xml:space="preserve"> y Walter Palanca. Aprobado por mayoría.-</w:t>
      </w:r>
    </w:p>
    <w:p w:rsidR="00E77530" w:rsidRDefault="00E77530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FUERA DEL ORDEN DEL DÍA</w:t>
      </w: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uso de la palabra, la Concejal María Celina Arán moc</w:t>
      </w:r>
      <w:r>
        <w:rPr>
          <w:rFonts w:ascii="Arial" w:hAnsi="Arial"/>
          <w:sz w:val="24"/>
          <w:szCs w:val="24"/>
        </w:rPr>
        <w:t xml:space="preserve">iona “in </w:t>
      </w:r>
      <w:proofErr w:type="spellStart"/>
      <w:r>
        <w:rPr>
          <w:rFonts w:ascii="Arial" w:hAnsi="Arial"/>
          <w:sz w:val="24"/>
          <w:szCs w:val="24"/>
        </w:rPr>
        <w:t>voce</w:t>
      </w:r>
      <w:proofErr w:type="spellEnd"/>
      <w:r>
        <w:rPr>
          <w:rFonts w:ascii="Arial" w:hAnsi="Arial"/>
          <w:sz w:val="24"/>
          <w:szCs w:val="24"/>
        </w:rPr>
        <w:t>” la sanción de una Minuta de Comunicación mediante la cual solicita</w:t>
      </w:r>
      <w:r>
        <w:rPr>
          <w:rFonts w:ascii="Arial" w:hAnsi="Arial"/>
          <w:sz w:val="24"/>
          <w:szCs w:val="24"/>
          <w:lang w:val="es-ES"/>
        </w:rPr>
        <w:t xml:space="preserve"> al Departamento Ejecutivo Municipal</w:t>
      </w:r>
      <w:r>
        <w:rPr>
          <w:rFonts w:ascii="Arial" w:hAnsi="Arial"/>
          <w:sz w:val="24"/>
          <w:szCs w:val="24"/>
        </w:rPr>
        <w:t>, realice un estudio de factibilidad a los fines de constituir un FONDO ROTATORIO de apoyo económico a empresas, profesionales, productores</w:t>
      </w:r>
      <w:r>
        <w:rPr>
          <w:rFonts w:ascii="Arial" w:hAnsi="Arial"/>
          <w:sz w:val="24"/>
          <w:szCs w:val="24"/>
        </w:rPr>
        <w:t xml:space="preserve"> y comerciantes locales, con o  sin trabajadores a cargo, mediante la modalidad de mutuos dinerarios, con garantía suficientes, y con los demás requisitos que reglamente el DEM. Aprobado por unanimidad.-</w:t>
      </w:r>
    </w:p>
    <w:p w:rsidR="00E77530" w:rsidRDefault="00E77530">
      <w:pPr>
        <w:pStyle w:val="Standard"/>
        <w:jc w:val="both"/>
        <w:rPr>
          <w:rFonts w:ascii="Arial" w:hAnsi="Arial"/>
          <w:b/>
          <w:sz w:val="24"/>
          <w:szCs w:val="24"/>
        </w:rPr>
      </w:pPr>
    </w:p>
    <w:p w:rsidR="00E77530" w:rsidRDefault="00E77530">
      <w:pPr>
        <w:pStyle w:val="Standard"/>
        <w:rPr>
          <w:rFonts w:ascii="Arial" w:hAnsi="Arial"/>
          <w:sz w:val="24"/>
          <w:szCs w:val="24"/>
        </w:rPr>
      </w:pPr>
    </w:p>
    <w:p w:rsidR="00E77530" w:rsidRDefault="00E77530">
      <w:pPr>
        <w:pStyle w:val="Standard"/>
        <w:rPr>
          <w:rFonts w:ascii="Arial" w:hAnsi="Arial"/>
          <w:sz w:val="24"/>
          <w:szCs w:val="24"/>
        </w:rPr>
      </w:pPr>
    </w:p>
    <w:p w:rsidR="00E77530" w:rsidRDefault="00E77530">
      <w:pPr>
        <w:pStyle w:val="Standard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Nota:</w:t>
      </w:r>
      <w:r>
        <w:rPr>
          <w:rFonts w:ascii="Arial" w:hAnsi="Arial"/>
          <w:b/>
          <w:bCs/>
          <w:sz w:val="20"/>
          <w:szCs w:val="20"/>
        </w:rPr>
        <w:t xml:space="preserve"> El soporte de audio de la presente sesión </w:t>
      </w:r>
      <w:r>
        <w:rPr>
          <w:rFonts w:ascii="Arial" w:hAnsi="Arial"/>
          <w:b/>
          <w:bCs/>
          <w:sz w:val="20"/>
          <w:szCs w:val="20"/>
        </w:rPr>
        <w:t>se encuentra como documento público resguardado en los archivos del Despacho del Concejo Municipal, de acuerdo a Resolución Nº 837/15.-</w:t>
      </w:r>
    </w:p>
    <w:p w:rsidR="00E77530" w:rsidRDefault="005005E8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Lo documentado en acta escrita es una síntesis de los dichos de los señores Concejales durante la presente sesión.-</w:t>
      </w:r>
      <w:bookmarkEnd w:id="0"/>
    </w:p>
    <w:sectPr w:rsidR="00E7753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E8" w:rsidRDefault="005005E8">
      <w:pPr>
        <w:spacing w:after="0" w:line="240" w:lineRule="auto"/>
      </w:pPr>
      <w:r>
        <w:separator/>
      </w:r>
    </w:p>
  </w:endnote>
  <w:endnote w:type="continuationSeparator" w:id="0">
    <w:p w:rsidR="005005E8" w:rsidRDefault="005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E8" w:rsidRDefault="005005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05E8" w:rsidRDefault="0050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503"/>
    <w:multiLevelType w:val="multilevel"/>
    <w:tmpl w:val="E9447CD0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CA6F40"/>
    <w:multiLevelType w:val="multilevel"/>
    <w:tmpl w:val="56EE3F94"/>
    <w:styleLink w:val="WWNum11"/>
    <w:lvl w:ilvl="0">
      <w:start w:val="1"/>
      <w:numFmt w:val="upperLetter"/>
      <w:lvlText w:val="%1-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7761AA"/>
    <w:multiLevelType w:val="multilevel"/>
    <w:tmpl w:val="E3C48DDA"/>
    <w:styleLink w:val="WWNum1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4A70A8C"/>
    <w:multiLevelType w:val="multilevel"/>
    <w:tmpl w:val="974834B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AF626C"/>
    <w:multiLevelType w:val="multilevel"/>
    <w:tmpl w:val="1A580EF8"/>
    <w:styleLink w:val="WWNum3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D5B6AA4"/>
    <w:multiLevelType w:val="multilevel"/>
    <w:tmpl w:val="B5E25624"/>
    <w:styleLink w:val="WW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507113"/>
    <w:multiLevelType w:val="multilevel"/>
    <w:tmpl w:val="769CA8AE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A1E0145"/>
    <w:multiLevelType w:val="multilevel"/>
    <w:tmpl w:val="DBDE6ECA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DD3294D"/>
    <w:multiLevelType w:val="multilevel"/>
    <w:tmpl w:val="400C8E6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03B1485"/>
    <w:multiLevelType w:val="multilevel"/>
    <w:tmpl w:val="C450B610"/>
    <w:styleLink w:val="WWNum1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33A15A7A"/>
    <w:multiLevelType w:val="multilevel"/>
    <w:tmpl w:val="7EC4874A"/>
    <w:styleLink w:val="WWNum27"/>
    <w:lvl w:ilvl="0">
      <w:start w:val="2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AB1628E"/>
    <w:multiLevelType w:val="multilevel"/>
    <w:tmpl w:val="5C9E986C"/>
    <w:styleLink w:val="WWNum2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BEB74FD"/>
    <w:multiLevelType w:val="multilevel"/>
    <w:tmpl w:val="ABE2ADF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4792B10"/>
    <w:multiLevelType w:val="multilevel"/>
    <w:tmpl w:val="647E8BF8"/>
    <w:styleLink w:val="WWNum1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6B95A11"/>
    <w:multiLevelType w:val="multilevel"/>
    <w:tmpl w:val="132A71A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73502B0"/>
    <w:multiLevelType w:val="multilevel"/>
    <w:tmpl w:val="995CCF6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8A4011C"/>
    <w:multiLevelType w:val="multilevel"/>
    <w:tmpl w:val="6AEA1862"/>
    <w:styleLink w:val="WWNum1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4B42660A"/>
    <w:multiLevelType w:val="multilevel"/>
    <w:tmpl w:val="A38A4CA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BA40C15"/>
    <w:multiLevelType w:val="multilevel"/>
    <w:tmpl w:val="6E1CB9B0"/>
    <w:styleLink w:val="WWNum30"/>
    <w:lvl w:ilvl="0">
      <w:start w:val="1"/>
      <w:numFmt w:val="decimal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C6163B8"/>
    <w:multiLevelType w:val="multilevel"/>
    <w:tmpl w:val="C8A05382"/>
    <w:styleLink w:val="WWNum6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4F3B5281"/>
    <w:multiLevelType w:val="multilevel"/>
    <w:tmpl w:val="E78EC1F0"/>
    <w:styleLink w:val="WWNum28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35764D3"/>
    <w:multiLevelType w:val="multilevel"/>
    <w:tmpl w:val="7674C12E"/>
    <w:styleLink w:val="WWNum1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5772080D"/>
    <w:multiLevelType w:val="multilevel"/>
    <w:tmpl w:val="24BA3DF0"/>
    <w:styleLink w:val="WWNum29"/>
    <w:lvl w:ilvl="0">
      <w:start w:val="1"/>
      <w:numFmt w:val="decimal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8E16DE1"/>
    <w:multiLevelType w:val="multilevel"/>
    <w:tmpl w:val="4C3AE2E4"/>
    <w:styleLink w:val="WWNum4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B6B5AD9"/>
    <w:multiLevelType w:val="multilevel"/>
    <w:tmpl w:val="101A3A6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D6815D6"/>
    <w:multiLevelType w:val="multilevel"/>
    <w:tmpl w:val="CD62A822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72A45C8"/>
    <w:multiLevelType w:val="multilevel"/>
    <w:tmpl w:val="AC66660C"/>
    <w:styleLink w:val="WWNum1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BBF1FC1"/>
    <w:multiLevelType w:val="multilevel"/>
    <w:tmpl w:val="E2FA5710"/>
    <w:styleLink w:val="WWNum5"/>
    <w:lvl w:ilvl="0">
      <w:start w:val="1"/>
      <w:numFmt w:val="lowerLetter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CA52648"/>
    <w:multiLevelType w:val="multilevel"/>
    <w:tmpl w:val="7FD224C0"/>
    <w:styleLink w:val="WWNum1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7D3536E6"/>
    <w:multiLevelType w:val="multilevel"/>
    <w:tmpl w:val="C85634D0"/>
    <w:styleLink w:val="WWNum1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7F0A70BD"/>
    <w:multiLevelType w:val="multilevel"/>
    <w:tmpl w:val="838649EE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6"/>
  </w:num>
  <w:num w:numId="2">
    <w:abstractNumId w:val="12"/>
  </w:num>
  <w:num w:numId="3">
    <w:abstractNumId w:val="7"/>
  </w:num>
  <w:num w:numId="4">
    <w:abstractNumId w:val="23"/>
  </w:num>
  <w:num w:numId="5">
    <w:abstractNumId w:val="27"/>
  </w:num>
  <w:num w:numId="6">
    <w:abstractNumId w:val="19"/>
  </w:num>
  <w:num w:numId="7">
    <w:abstractNumId w:val="3"/>
  </w:num>
  <w:num w:numId="8">
    <w:abstractNumId w:val="5"/>
  </w:num>
  <w:num w:numId="9">
    <w:abstractNumId w:val="30"/>
  </w:num>
  <w:num w:numId="10">
    <w:abstractNumId w:val="24"/>
  </w:num>
  <w:num w:numId="11">
    <w:abstractNumId w:val="1"/>
  </w:num>
  <w:num w:numId="12">
    <w:abstractNumId w:val="8"/>
  </w:num>
  <w:num w:numId="13">
    <w:abstractNumId w:val="28"/>
  </w:num>
  <w:num w:numId="14">
    <w:abstractNumId w:val="9"/>
  </w:num>
  <w:num w:numId="15">
    <w:abstractNumId w:val="29"/>
  </w:num>
  <w:num w:numId="16">
    <w:abstractNumId w:val="13"/>
  </w:num>
  <w:num w:numId="17">
    <w:abstractNumId w:val="2"/>
  </w:num>
  <w:num w:numId="18">
    <w:abstractNumId w:val="16"/>
  </w:num>
  <w:num w:numId="19">
    <w:abstractNumId w:val="21"/>
  </w:num>
  <w:num w:numId="20">
    <w:abstractNumId w:val="11"/>
  </w:num>
  <w:num w:numId="21">
    <w:abstractNumId w:val="0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17"/>
  </w:num>
  <w:num w:numId="27">
    <w:abstractNumId w:val="10"/>
  </w:num>
  <w:num w:numId="28">
    <w:abstractNumId w:val="20"/>
  </w:num>
  <w:num w:numId="29">
    <w:abstractNumId w:val="22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7530"/>
    <w:rsid w:val="005005E8"/>
    <w:rsid w:val="00654014"/>
    <w:rsid w:val="00865456"/>
    <w:rsid w:val="00DB2B48"/>
    <w:rsid w:val="00E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ecxmsonormal">
    <w:name w:val="ecxmsonormal"/>
    <w:basedOn w:val="Standard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  <w:lang w:eastAsia="es-AR"/>
    </w:rPr>
  </w:style>
  <w:style w:type="paragraph" w:styleId="Textoindependiente2">
    <w:name w:val="Body Text 2"/>
    <w:basedOn w:val="Standard"/>
    <w:pPr>
      <w:spacing w:after="120" w:line="480" w:lineRule="auto"/>
    </w:pPr>
    <w:rPr>
      <w:sz w:val="20"/>
      <w:szCs w:val="20"/>
      <w:lang w:val="es-ES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2Car">
    <w:name w:val="Texto independiente 2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 w:cs="Times New Roman"/>
      <w:b/>
      <w:bCs/>
      <w:sz w:val="20"/>
      <w:szCs w:val="20"/>
      <w:lang w:val="es-AR" w:eastAsia="es-ES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ecxmsonormal">
    <w:name w:val="ecxmsonormal"/>
    <w:basedOn w:val="Standard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  <w:lang w:eastAsia="es-AR"/>
    </w:rPr>
  </w:style>
  <w:style w:type="paragraph" w:styleId="Textoindependiente2">
    <w:name w:val="Body Text 2"/>
    <w:basedOn w:val="Standard"/>
    <w:pPr>
      <w:spacing w:after="120" w:line="480" w:lineRule="auto"/>
    </w:pPr>
    <w:rPr>
      <w:sz w:val="20"/>
      <w:szCs w:val="20"/>
      <w:lang w:val="es-ES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2Car">
    <w:name w:val="Texto independiente 2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 w:cs="Times New Roman"/>
      <w:b/>
      <w:bCs/>
      <w:sz w:val="20"/>
      <w:szCs w:val="20"/>
      <w:lang w:val="es-AR" w:eastAsia="es-ES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Vani</cp:lastModifiedBy>
  <cp:revision>1</cp:revision>
  <cp:lastPrinted>2020-03-13T13:54:00Z</cp:lastPrinted>
  <dcterms:created xsi:type="dcterms:W3CDTF">2020-03-19T09:38:00Z</dcterms:created>
  <dcterms:modified xsi:type="dcterms:W3CDTF">2020-04-15T12:06:00Z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eXPerienciaUE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