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74" w:rsidRDefault="004C25FA">
      <w:pPr>
        <w:pStyle w:val="Standard"/>
        <w:spacing w:line="360" w:lineRule="auto"/>
        <w:jc w:val="both"/>
        <w:rPr>
          <w:rFonts w:ascii="Arial" w:hAnsi="Arial"/>
        </w:rPr>
      </w:pPr>
      <w:bookmarkStart w:id="0" w:name="Bookmark"/>
      <w:bookmarkStart w:id="1" w:name="_GoBack"/>
      <w:bookmarkEnd w:id="1"/>
      <w:r>
        <w:rPr>
          <w:rFonts w:ascii="Arial" w:hAnsi="Arial"/>
          <w:sz w:val="24"/>
          <w:szCs w:val="24"/>
          <w:u w:val="single"/>
          <w:lang w:val="es-ES"/>
        </w:rPr>
        <w:t>SESIÓN EXTRAORDINARIA– ACTA NÚMERO MIL CUATROCIENTOS SETENTA Y SEIS (Nº 1476) – 06 DE ABRIL DE 2</w:t>
      </w:r>
      <w:r>
        <w:rPr>
          <w:rFonts w:ascii="Arial" w:hAnsi="Arial" w:cs="Arial"/>
          <w:sz w:val="24"/>
          <w:szCs w:val="24"/>
          <w:u w:val="single"/>
          <w:lang w:val="es-ES"/>
        </w:rPr>
        <w:t>020.-</w:t>
      </w:r>
    </w:p>
    <w:p w:rsidR="00FE3274" w:rsidRDefault="00FE3274">
      <w:pPr>
        <w:pStyle w:val="Standard"/>
        <w:spacing w:line="360" w:lineRule="auto"/>
        <w:ind w:left="-4600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FE3274" w:rsidRDefault="004C25FA">
      <w:pPr>
        <w:pStyle w:val="Standard"/>
        <w:spacing w:line="360" w:lineRule="auto"/>
        <w:jc w:val="both"/>
      </w:pPr>
      <w:r>
        <w:rPr>
          <w:rFonts w:ascii="Arial" w:hAnsi="Arial"/>
          <w:sz w:val="24"/>
          <w:szCs w:val="24"/>
          <w:lang w:val="es-ES"/>
        </w:rPr>
        <w:t xml:space="preserve">En la ciudad de Casilda, al día seis del mes de Abril del año dos mil veinte, y </w:t>
      </w:r>
      <w:r>
        <w:rPr>
          <w:rFonts w:ascii="Arial" w:hAnsi="Arial"/>
          <w:sz w:val="24"/>
          <w:szCs w:val="24"/>
          <w:lang w:val="es-ES"/>
        </w:rPr>
        <w:t xml:space="preserve">ante las medidas de resguardo para evitar la circulación de personas, atento a la determinación del Gobierno Nacional de mantener aislamiento social, preventivo y obligatorio, por la Pandemia por </w:t>
      </w:r>
      <w:proofErr w:type="spellStart"/>
      <w:r>
        <w:rPr>
          <w:rFonts w:ascii="Arial" w:hAnsi="Arial"/>
          <w:sz w:val="24"/>
          <w:szCs w:val="24"/>
          <w:lang w:val="es-ES"/>
        </w:rPr>
        <w:t>Covid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19- Corona Virus y en relación a la necesidad del Depa</w:t>
      </w:r>
      <w:r>
        <w:rPr>
          <w:rFonts w:ascii="Arial" w:hAnsi="Arial"/>
          <w:sz w:val="24"/>
          <w:szCs w:val="24"/>
          <w:lang w:val="es-ES"/>
        </w:rPr>
        <w:t xml:space="preserve">rtamento Ejecutivo Municipal de contar con una norma a los fines de flexibilizar el cobro de intereses por diversos impuestos y gravámenes Municipales, los Sres. Concejales: María Celina Arán, Manuela </w:t>
      </w:r>
      <w:proofErr w:type="spellStart"/>
      <w:r>
        <w:rPr>
          <w:rFonts w:ascii="Arial" w:hAnsi="Arial"/>
          <w:sz w:val="24"/>
          <w:szCs w:val="24"/>
          <w:lang w:val="es-ES"/>
        </w:rPr>
        <w:t>Bonis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, Pedro </w:t>
      </w:r>
      <w:proofErr w:type="spellStart"/>
      <w:r>
        <w:rPr>
          <w:rFonts w:ascii="Arial" w:hAnsi="Arial"/>
          <w:sz w:val="24"/>
          <w:szCs w:val="24"/>
          <w:lang w:val="es-ES"/>
        </w:rPr>
        <w:t>Sanitá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, Alberto </w:t>
      </w:r>
      <w:proofErr w:type="spellStart"/>
      <w:r>
        <w:rPr>
          <w:rFonts w:ascii="Arial" w:hAnsi="Arial"/>
          <w:sz w:val="24"/>
          <w:szCs w:val="24"/>
          <w:lang w:val="es-ES"/>
        </w:rPr>
        <w:t>Yualé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, Mauricio </w:t>
      </w:r>
      <w:proofErr w:type="spellStart"/>
      <w:r>
        <w:rPr>
          <w:rFonts w:ascii="Arial" w:hAnsi="Arial"/>
          <w:sz w:val="24"/>
          <w:szCs w:val="24"/>
          <w:lang w:val="es-ES"/>
        </w:rPr>
        <w:t>Plancich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y</w:t>
      </w:r>
      <w:r>
        <w:rPr>
          <w:rFonts w:ascii="Arial" w:hAnsi="Arial"/>
          <w:sz w:val="24"/>
          <w:szCs w:val="24"/>
          <w:lang w:val="es-ES"/>
        </w:rPr>
        <w:t xml:space="preserve"> Germán </w:t>
      </w:r>
      <w:proofErr w:type="spellStart"/>
      <w:r>
        <w:rPr>
          <w:rFonts w:ascii="Arial" w:hAnsi="Arial"/>
          <w:sz w:val="24"/>
          <w:szCs w:val="24"/>
          <w:lang w:val="es-ES"/>
        </w:rPr>
        <w:t>Zarantonello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, convocados por el Presidente del Concejo, Walter Palanca, y la Sra. Secretaria del Cuerpo, </w:t>
      </w:r>
      <w:proofErr w:type="spellStart"/>
      <w:r>
        <w:rPr>
          <w:rFonts w:ascii="Arial" w:hAnsi="Arial"/>
          <w:sz w:val="24"/>
          <w:szCs w:val="24"/>
          <w:lang w:val="es-ES"/>
        </w:rPr>
        <w:t>Vanina</w:t>
      </w:r>
      <w:proofErr w:type="spellEnd"/>
      <w:r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ES"/>
        </w:rPr>
        <w:t>Zanetti</w:t>
      </w:r>
      <w:proofErr w:type="spellEnd"/>
      <w:r>
        <w:rPr>
          <w:rFonts w:ascii="Arial" w:hAnsi="Arial"/>
          <w:sz w:val="24"/>
          <w:szCs w:val="24"/>
          <w:lang w:val="es-ES"/>
        </w:rPr>
        <w:t>, aceptan sesionar de manera virtual y emitir su voto, en relación a los temas que a continuación se describen;</w:t>
      </w:r>
    </w:p>
    <w:p w:rsidR="00FE3274" w:rsidRDefault="00FE3274">
      <w:pPr>
        <w:pStyle w:val="Standard"/>
        <w:spacing w:line="360" w:lineRule="auto"/>
        <w:jc w:val="both"/>
      </w:pPr>
    </w:p>
    <w:p w:rsidR="00FE3274" w:rsidRDefault="004C25FA">
      <w:pPr>
        <w:pStyle w:val="Standard"/>
      </w:pPr>
      <w:r>
        <w:t xml:space="preserve"> </w:t>
      </w:r>
      <w:r>
        <w:rPr>
          <w:rFonts w:ascii="Arial" w:hAnsi="Arial"/>
          <w:sz w:val="24"/>
          <w:szCs w:val="24"/>
        </w:rPr>
        <w:t>Acta de la Sesi</w:t>
      </w:r>
      <w:r>
        <w:rPr>
          <w:rFonts w:ascii="Arial" w:hAnsi="Arial"/>
          <w:sz w:val="24"/>
          <w:szCs w:val="24"/>
        </w:rPr>
        <w:t>ón Anterior. Pasa a estudio de comisión</w:t>
      </w:r>
      <w:r>
        <w:rPr>
          <w:rFonts w:ascii="Arial" w:hAnsi="Arial"/>
          <w:sz w:val="24"/>
          <w:szCs w:val="24"/>
        </w:rPr>
        <w:t>.-</w:t>
      </w:r>
    </w:p>
    <w:p w:rsidR="00FE3274" w:rsidRDefault="00FE3274">
      <w:pPr>
        <w:pStyle w:val="Standard"/>
        <w:rPr>
          <w:rFonts w:ascii="Arial" w:hAnsi="Arial"/>
          <w:sz w:val="24"/>
          <w:szCs w:val="24"/>
        </w:rPr>
      </w:pPr>
    </w:p>
    <w:p w:rsidR="00FE3274" w:rsidRDefault="00FE3274">
      <w:pPr>
        <w:pStyle w:val="Textbody"/>
        <w:rPr>
          <w:rFonts w:ascii="Arial" w:hAnsi="Arial"/>
          <w:sz w:val="24"/>
          <w:szCs w:val="24"/>
        </w:rPr>
      </w:pPr>
    </w:p>
    <w:p w:rsidR="00FE3274" w:rsidRDefault="004C25FA">
      <w:pPr>
        <w:pStyle w:val="Textbod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val="single"/>
        </w:rPr>
        <w:t>CORRESPONDENCIA DEL DEPARTAMENTO EJECUTIVO MUNICIPAL</w:t>
      </w:r>
    </w:p>
    <w:p w:rsidR="00FE3274" w:rsidRDefault="00FE3274">
      <w:pPr>
        <w:pStyle w:val="Textbody"/>
        <w:spacing w:line="360" w:lineRule="auto"/>
        <w:rPr>
          <w:rFonts w:ascii="Arial" w:hAnsi="Arial"/>
          <w:sz w:val="24"/>
          <w:szCs w:val="24"/>
        </w:rPr>
      </w:pPr>
    </w:p>
    <w:p w:rsidR="00FE3274" w:rsidRDefault="004C25FA">
      <w:pPr>
        <w:pStyle w:val="Textbody"/>
        <w:spacing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Decreto Nº 033/20, mediante el cual se condonan “ad </w:t>
      </w:r>
      <w:proofErr w:type="spellStart"/>
      <w:r>
        <w:rPr>
          <w:rFonts w:ascii="Arial" w:hAnsi="Arial"/>
          <w:color w:val="000000"/>
          <w:sz w:val="24"/>
          <w:szCs w:val="24"/>
        </w:rPr>
        <w:t>referendum</w:t>
      </w:r>
      <w:proofErr w:type="spellEnd"/>
      <w:r>
        <w:rPr>
          <w:rFonts w:ascii="Arial" w:hAnsi="Arial"/>
          <w:color w:val="000000"/>
          <w:sz w:val="24"/>
          <w:szCs w:val="24"/>
        </w:rPr>
        <w:t>” del Concejo Municipal, los intereses por pago  fuera de término de la Tasa general de Inmueble</w:t>
      </w:r>
      <w:r>
        <w:rPr>
          <w:rFonts w:ascii="Arial" w:hAnsi="Arial"/>
          <w:color w:val="000000"/>
          <w:sz w:val="24"/>
          <w:szCs w:val="24"/>
        </w:rPr>
        <w:t xml:space="preserve">s, cuyo vencimiento haya operado entre el 15 de Marzo y el 31 de Abril de 2020. Asimismo, se condonan los intereses por pago fuera de término para las cuotas originadas en la cesión, transferencia y/o venta de lotes urbanos y/o del Área Industrial, cuotas </w:t>
      </w:r>
      <w:r>
        <w:rPr>
          <w:rFonts w:ascii="Arial" w:hAnsi="Arial"/>
          <w:color w:val="000000"/>
          <w:sz w:val="24"/>
          <w:szCs w:val="24"/>
        </w:rPr>
        <w:t>por compra de nichos y/o cuotas de pago de obras cuyo vencimiento haya operado u opere entre el 15 de marzo de 2020 y el 13 de abril de 2020. Finalmente, se condonan los intereses por pago fuera de término del canon correspondiente a Derechos de Registro e</w:t>
      </w:r>
      <w:r>
        <w:rPr>
          <w:rFonts w:ascii="Arial" w:hAnsi="Arial"/>
          <w:color w:val="000000"/>
          <w:sz w:val="24"/>
          <w:szCs w:val="24"/>
        </w:rPr>
        <w:t xml:space="preserve"> Inspección a aquellos cuentapropistas y pequeños comerciantes, cuyas actividades se hayan visto totalmente suspendidas durante la vigencia del Decreto de Necesidad y Urgencia Nº260/2020 y sus modificatorias y/o ampliatorias. Pasa a cuarto intermedio para </w:t>
      </w:r>
      <w:r>
        <w:rPr>
          <w:rFonts w:ascii="Arial" w:hAnsi="Arial"/>
          <w:color w:val="000000"/>
          <w:sz w:val="24"/>
          <w:szCs w:val="24"/>
        </w:rPr>
        <w:t>su posterior tratamiento.-</w:t>
      </w:r>
    </w:p>
    <w:p w:rsidR="00FE3274" w:rsidRDefault="00FE3274">
      <w:pPr>
        <w:pStyle w:val="Textbody"/>
        <w:spacing w:line="360" w:lineRule="auto"/>
        <w:rPr>
          <w:rFonts w:ascii="Arial" w:hAnsi="Arial"/>
          <w:sz w:val="24"/>
          <w:szCs w:val="24"/>
        </w:rPr>
      </w:pPr>
    </w:p>
    <w:p w:rsidR="00FE3274" w:rsidRDefault="004C25FA">
      <w:pPr>
        <w:pStyle w:val="Textbody"/>
        <w:spacing w:after="0" w:line="360" w:lineRule="auto"/>
        <w:jc w:val="both"/>
        <w:rPr>
          <w:rFonts w:ascii="Arial" w:hAnsi="Arial"/>
          <w:color w:val="000000"/>
          <w:sz w:val="24"/>
          <w:szCs w:val="24"/>
          <w:u w:val="single"/>
        </w:rPr>
      </w:pPr>
      <w:r>
        <w:rPr>
          <w:rFonts w:ascii="Arial" w:hAnsi="Arial"/>
          <w:color w:val="000000"/>
          <w:sz w:val="24"/>
          <w:szCs w:val="24"/>
          <w:u w:val="single"/>
        </w:rPr>
        <w:lastRenderedPageBreak/>
        <w:t>DICTÁMENES DE COMISIÓN</w:t>
      </w:r>
    </w:p>
    <w:p w:rsidR="00FE3274" w:rsidRDefault="004C25FA">
      <w:pPr>
        <w:pStyle w:val="Textbody"/>
        <w:spacing w:after="0" w:line="360" w:lineRule="auto"/>
        <w:jc w:val="both"/>
        <w:rPr>
          <w:rFonts w:ascii="Arial" w:hAnsi="Arial"/>
          <w:color w:val="000000"/>
          <w:sz w:val="24"/>
          <w:szCs w:val="24"/>
          <w:u w:val="single"/>
        </w:rPr>
      </w:pPr>
      <w:r>
        <w:rPr>
          <w:rFonts w:ascii="Arial" w:hAnsi="Arial"/>
          <w:color w:val="000000"/>
          <w:sz w:val="24"/>
          <w:szCs w:val="24"/>
          <w:u w:val="single"/>
        </w:rPr>
        <w:t>(Se encuentra en vigencia la votación nominal)</w:t>
      </w:r>
    </w:p>
    <w:p w:rsidR="00FE3274" w:rsidRDefault="004C25FA">
      <w:pPr>
        <w:pStyle w:val="Textbody"/>
        <w:spacing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Dictamen Nº 3925/20, de la Comisión de Hacienda, mediante el cual se aconseja dar voto favorable a un Proyecto de Ordenanza mediante el cual se autoriza al </w:t>
      </w:r>
      <w:r>
        <w:rPr>
          <w:rFonts w:ascii="Arial" w:hAnsi="Arial"/>
          <w:color w:val="000000"/>
          <w:sz w:val="24"/>
          <w:szCs w:val="24"/>
        </w:rPr>
        <w:t>DEM a condonar los intereses por los siguientes ítems:</w:t>
      </w:r>
    </w:p>
    <w:p w:rsidR="00FE3274" w:rsidRDefault="004C25FA">
      <w:pPr>
        <w:pStyle w:val="Textbody"/>
        <w:numPr>
          <w:ilvl w:val="0"/>
          <w:numId w:val="32"/>
        </w:numPr>
        <w:spacing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Por pago  fuera de término de la Tasa general de Inmuebles, cuyo vencimiento haya operado entre el 15 de Marzo y el 31 de Abril de 2020.-</w:t>
      </w:r>
    </w:p>
    <w:p w:rsidR="00FE3274" w:rsidRDefault="004C25FA">
      <w:pPr>
        <w:pStyle w:val="Textbody"/>
        <w:numPr>
          <w:ilvl w:val="0"/>
          <w:numId w:val="32"/>
        </w:numPr>
        <w:spacing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Por pago fuera de término para las cuotas originadas en la </w:t>
      </w:r>
      <w:r>
        <w:rPr>
          <w:rFonts w:ascii="Arial" w:hAnsi="Arial"/>
          <w:color w:val="000000"/>
          <w:sz w:val="24"/>
          <w:szCs w:val="24"/>
        </w:rPr>
        <w:t>cesión, transferencia y/o venta de lotes urbanos y/o del Área Industrial, cuotas por compra de nichos y/o cuotas de pago de obras cuyo vencimiento haya operado u opere entre el 15 de marzo de 2020 y el 13 de abril de 2020.-</w:t>
      </w:r>
    </w:p>
    <w:p w:rsidR="00FE3274" w:rsidRDefault="004C25FA">
      <w:pPr>
        <w:pStyle w:val="Textbody"/>
        <w:numPr>
          <w:ilvl w:val="0"/>
          <w:numId w:val="3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Por pago fuera de término del ca</w:t>
      </w:r>
      <w:r>
        <w:rPr>
          <w:rFonts w:ascii="Arial" w:hAnsi="Arial"/>
          <w:color w:val="000000"/>
          <w:sz w:val="24"/>
          <w:szCs w:val="24"/>
        </w:rPr>
        <w:t xml:space="preserve">non correspondiente a Derechos de Registro e Inspección a aquellos cuentapropistas y pequeños comerciantes, cuyas actividades se hayan visto totalmente suspendidas durante la vigencia del Decreto de Necesidad y Urgencia Nº260/2020 y sus modificatorias y/o </w:t>
      </w:r>
      <w:r>
        <w:rPr>
          <w:rFonts w:ascii="Arial" w:hAnsi="Arial"/>
          <w:color w:val="000000"/>
          <w:sz w:val="24"/>
          <w:szCs w:val="24"/>
        </w:rPr>
        <w:t>ampliatorias. El Dictamen resulta aprobado por unanimidad.-</w:t>
      </w:r>
    </w:p>
    <w:p w:rsidR="00FE3274" w:rsidRDefault="00FE3274">
      <w:pPr>
        <w:pStyle w:val="Standard"/>
        <w:spacing w:line="360" w:lineRule="auto"/>
        <w:rPr>
          <w:rFonts w:ascii="Arial" w:hAnsi="Arial"/>
          <w:sz w:val="24"/>
          <w:szCs w:val="24"/>
        </w:rPr>
      </w:pPr>
    </w:p>
    <w:p w:rsidR="00FE3274" w:rsidRDefault="00FE3274">
      <w:pPr>
        <w:pStyle w:val="Standard"/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FE3274" w:rsidRDefault="00FE3274">
      <w:pPr>
        <w:pStyle w:val="Standard"/>
        <w:spacing w:line="360" w:lineRule="auto"/>
        <w:rPr>
          <w:rFonts w:ascii="Arial" w:hAnsi="Arial"/>
          <w:sz w:val="24"/>
          <w:szCs w:val="24"/>
        </w:rPr>
      </w:pPr>
    </w:p>
    <w:p w:rsidR="00FE3274" w:rsidRDefault="00FE3274">
      <w:pPr>
        <w:pStyle w:val="Standard"/>
        <w:spacing w:line="360" w:lineRule="auto"/>
        <w:rPr>
          <w:rFonts w:ascii="Arial" w:hAnsi="Arial"/>
          <w:sz w:val="24"/>
          <w:szCs w:val="24"/>
        </w:rPr>
      </w:pPr>
    </w:p>
    <w:p w:rsidR="00FE3274" w:rsidRDefault="00FE3274">
      <w:pPr>
        <w:pStyle w:val="Standard"/>
        <w:spacing w:line="360" w:lineRule="auto"/>
        <w:jc w:val="both"/>
        <w:rPr>
          <w:rFonts w:ascii="Arial" w:hAnsi="Arial"/>
          <w:sz w:val="24"/>
          <w:szCs w:val="24"/>
          <w:u w:val="single"/>
        </w:rPr>
      </w:pPr>
    </w:p>
    <w:bookmarkEnd w:id="0"/>
    <w:p w:rsidR="00FE3274" w:rsidRDefault="00FE3274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sectPr w:rsidR="00FE3274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FA" w:rsidRDefault="004C25FA">
      <w:pPr>
        <w:spacing w:after="0" w:line="240" w:lineRule="auto"/>
      </w:pPr>
      <w:r>
        <w:separator/>
      </w:r>
    </w:p>
  </w:endnote>
  <w:endnote w:type="continuationSeparator" w:id="0">
    <w:p w:rsidR="004C25FA" w:rsidRDefault="004C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FA" w:rsidRDefault="004C25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25FA" w:rsidRDefault="004C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881"/>
    <w:multiLevelType w:val="multilevel"/>
    <w:tmpl w:val="4F2A891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4600FE6"/>
    <w:multiLevelType w:val="multilevel"/>
    <w:tmpl w:val="5FE4456C"/>
    <w:styleLink w:val="WWNum1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B5B5ED4"/>
    <w:multiLevelType w:val="multilevel"/>
    <w:tmpl w:val="45CE747C"/>
    <w:styleLink w:val="WWNum4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C6F37AD"/>
    <w:multiLevelType w:val="multilevel"/>
    <w:tmpl w:val="61A206C4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DCA2D57"/>
    <w:multiLevelType w:val="multilevel"/>
    <w:tmpl w:val="3BD6C93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023520D"/>
    <w:multiLevelType w:val="multilevel"/>
    <w:tmpl w:val="F37A1D42"/>
    <w:styleLink w:val="WWNum28"/>
    <w:lvl w:ilvl="0">
      <w:start w:val="4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16872AF"/>
    <w:multiLevelType w:val="multilevel"/>
    <w:tmpl w:val="F3967166"/>
    <w:styleLink w:val="WWNum5"/>
    <w:lvl w:ilvl="0">
      <w:start w:val="1"/>
      <w:numFmt w:val="lowerLetter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2087D39"/>
    <w:multiLevelType w:val="multilevel"/>
    <w:tmpl w:val="6A3ACA5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CF40663"/>
    <w:multiLevelType w:val="multilevel"/>
    <w:tmpl w:val="4C5AAE20"/>
    <w:styleLink w:val="WWNum3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21DE0CAB"/>
    <w:multiLevelType w:val="multilevel"/>
    <w:tmpl w:val="413CFE2E"/>
    <w:styleLink w:val="WWNum1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25AC0360"/>
    <w:multiLevelType w:val="multilevel"/>
    <w:tmpl w:val="561E491E"/>
    <w:styleLink w:val="WWNum1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298B78BF"/>
    <w:multiLevelType w:val="multilevel"/>
    <w:tmpl w:val="19BEEF1A"/>
    <w:styleLink w:val="WWNum30"/>
    <w:lvl w:ilvl="0">
      <w:start w:val="1"/>
      <w:numFmt w:val="decimal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A036E22"/>
    <w:multiLevelType w:val="multilevel"/>
    <w:tmpl w:val="AF5E3C58"/>
    <w:styleLink w:val="WWNum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F841F2C"/>
    <w:multiLevelType w:val="multilevel"/>
    <w:tmpl w:val="2EBC298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C4B44E1"/>
    <w:multiLevelType w:val="multilevel"/>
    <w:tmpl w:val="5F68A4CE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C925D55"/>
    <w:multiLevelType w:val="multilevel"/>
    <w:tmpl w:val="AD762F7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E9F1D59"/>
    <w:multiLevelType w:val="multilevel"/>
    <w:tmpl w:val="32E6EF90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F4B5170"/>
    <w:multiLevelType w:val="multilevel"/>
    <w:tmpl w:val="178CC6AA"/>
    <w:styleLink w:val="WWNum27"/>
    <w:lvl w:ilvl="0">
      <w:start w:val="2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0E83B2E"/>
    <w:multiLevelType w:val="multilevel"/>
    <w:tmpl w:val="04BA9BB8"/>
    <w:styleLink w:val="WWNum1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>
    <w:nsid w:val="422546E7"/>
    <w:multiLevelType w:val="multilevel"/>
    <w:tmpl w:val="90CC49D6"/>
    <w:styleLink w:val="WWNum1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485D5178"/>
    <w:multiLevelType w:val="multilevel"/>
    <w:tmpl w:val="4D52B4E4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F44271B"/>
    <w:multiLevelType w:val="multilevel"/>
    <w:tmpl w:val="F31E68F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26E7D9D"/>
    <w:multiLevelType w:val="multilevel"/>
    <w:tmpl w:val="64B8553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3E91C87"/>
    <w:multiLevelType w:val="multilevel"/>
    <w:tmpl w:val="315ABFEC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693700D"/>
    <w:multiLevelType w:val="multilevel"/>
    <w:tmpl w:val="D7544700"/>
    <w:styleLink w:val="WWNum6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669F25DE"/>
    <w:multiLevelType w:val="multilevel"/>
    <w:tmpl w:val="C0B2F512"/>
    <w:styleLink w:val="WWNum2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6">
    <w:nsid w:val="721026F6"/>
    <w:multiLevelType w:val="multilevel"/>
    <w:tmpl w:val="DEC2419A"/>
    <w:styleLink w:val="WWNum16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72550051"/>
    <w:multiLevelType w:val="multilevel"/>
    <w:tmpl w:val="8AD6B128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2DD6672"/>
    <w:multiLevelType w:val="multilevel"/>
    <w:tmpl w:val="CFB61ABA"/>
    <w:styleLink w:val="WWNum11"/>
    <w:lvl w:ilvl="0">
      <w:start w:val="1"/>
      <w:numFmt w:val="upperLetter"/>
      <w:lvlText w:val="%1-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4EC4B18"/>
    <w:multiLevelType w:val="multilevel"/>
    <w:tmpl w:val="2F846936"/>
    <w:styleLink w:val="WWNum1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773A42A8"/>
    <w:multiLevelType w:val="multilevel"/>
    <w:tmpl w:val="D34A4598"/>
    <w:styleLink w:val="WWNum29"/>
    <w:lvl w:ilvl="0">
      <w:start w:val="1"/>
      <w:numFmt w:val="decimal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8CD32F0"/>
    <w:multiLevelType w:val="multilevel"/>
    <w:tmpl w:val="C7687242"/>
    <w:styleLink w:val="WWNum18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2"/>
  </w:num>
  <w:num w:numId="5">
    <w:abstractNumId w:val="6"/>
  </w:num>
  <w:num w:numId="6">
    <w:abstractNumId w:val="24"/>
  </w:num>
  <w:num w:numId="7">
    <w:abstractNumId w:val="13"/>
  </w:num>
  <w:num w:numId="8">
    <w:abstractNumId w:val="12"/>
  </w:num>
  <w:num w:numId="9">
    <w:abstractNumId w:val="15"/>
  </w:num>
  <w:num w:numId="10">
    <w:abstractNumId w:val="4"/>
  </w:num>
  <w:num w:numId="11">
    <w:abstractNumId w:val="28"/>
  </w:num>
  <w:num w:numId="12">
    <w:abstractNumId w:val="21"/>
  </w:num>
  <w:num w:numId="13">
    <w:abstractNumId w:val="10"/>
  </w:num>
  <w:num w:numId="14">
    <w:abstractNumId w:val="18"/>
  </w:num>
  <w:num w:numId="15">
    <w:abstractNumId w:val="19"/>
  </w:num>
  <w:num w:numId="16">
    <w:abstractNumId w:val="26"/>
  </w:num>
  <w:num w:numId="17">
    <w:abstractNumId w:val="9"/>
  </w:num>
  <w:num w:numId="18">
    <w:abstractNumId w:val="31"/>
  </w:num>
  <w:num w:numId="19">
    <w:abstractNumId w:val="29"/>
  </w:num>
  <w:num w:numId="20">
    <w:abstractNumId w:val="25"/>
  </w:num>
  <w:num w:numId="21">
    <w:abstractNumId w:val="16"/>
  </w:num>
  <w:num w:numId="22">
    <w:abstractNumId w:val="3"/>
  </w:num>
  <w:num w:numId="23">
    <w:abstractNumId w:val="27"/>
  </w:num>
  <w:num w:numId="24">
    <w:abstractNumId w:val="23"/>
  </w:num>
  <w:num w:numId="25">
    <w:abstractNumId w:val="14"/>
  </w:num>
  <w:num w:numId="26">
    <w:abstractNumId w:val="7"/>
  </w:num>
  <w:num w:numId="27">
    <w:abstractNumId w:val="17"/>
  </w:num>
  <w:num w:numId="28">
    <w:abstractNumId w:val="5"/>
  </w:num>
  <w:num w:numId="29">
    <w:abstractNumId w:val="30"/>
  </w:num>
  <w:num w:numId="30">
    <w:abstractNumId w:val="11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3274"/>
    <w:rsid w:val="00266357"/>
    <w:rsid w:val="004C25FA"/>
    <w:rsid w:val="00F17E65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AR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ecxmsonormal">
    <w:name w:val="ecxmsonormal"/>
    <w:basedOn w:val="Standard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Standard"/>
    <w:pPr>
      <w:spacing w:before="100" w:after="100"/>
    </w:pPr>
    <w:rPr>
      <w:sz w:val="24"/>
      <w:szCs w:val="24"/>
      <w:lang w:eastAsia="es-AR"/>
    </w:rPr>
  </w:style>
  <w:style w:type="paragraph" w:styleId="Textoindependiente2">
    <w:name w:val="Body Text 2"/>
    <w:basedOn w:val="Standard"/>
    <w:pPr>
      <w:spacing w:after="120" w:line="480" w:lineRule="auto"/>
    </w:pPr>
    <w:rPr>
      <w:sz w:val="20"/>
      <w:szCs w:val="20"/>
      <w:lang w:val="es-ES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8"/>
      <w:szCs w:val="28"/>
      <w:lang w:val="es-AR" w:eastAsia="es-ES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8"/>
      <w:szCs w:val="28"/>
      <w:lang w:val="es-AR" w:eastAsia="es-ES"/>
    </w:rPr>
  </w:style>
  <w:style w:type="character" w:styleId="nfasis">
    <w:name w:val="Emphasis"/>
    <w:basedOn w:val="Fuentedeprrafopredeter"/>
    <w:rPr>
      <w:i/>
      <w:iCs/>
    </w:rPr>
  </w:style>
  <w:style w:type="character" w:customStyle="1" w:styleId="Textoindependiente2Car">
    <w:name w:val="Texto independiente 2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rPr>
      <w:color w:val="605E5C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AsuntodelcomentarioCar">
    <w:name w:val="Asunto del comentario Car"/>
    <w:basedOn w:val="TextocomentarioCar"/>
    <w:rPr>
      <w:rFonts w:ascii="Times New Roman" w:eastAsia="Times New Roman" w:hAnsi="Times New Roman" w:cs="Times New Roman"/>
      <w:b/>
      <w:bCs/>
      <w:sz w:val="20"/>
      <w:szCs w:val="20"/>
      <w:lang w:val="es-AR" w:eastAsia="es-ES"/>
    </w:rPr>
  </w:style>
  <w:style w:type="character" w:customStyle="1" w:styleId="TextodegloboCar">
    <w:name w:val="Texto de globo Car"/>
    <w:basedOn w:val="Fuentedeprrafopredeter"/>
    <w:rPr>
      <w:rFonts w:ascii="Segoe UI" w:eastAsia="Times New Roman" w:hAnsi="Segoe UI" w:cs="Segoe UI"/>
      <w:sz w:val="18"/>
      <w:szCs w:val="18"/>
      <w:lang w:val="es-AR" w:eastAsia="es-ES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  <w:sz w:val="24"/>
      <w:szCs w:val="24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AR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ecxmsonormal">
    <w:name w:val="ecxmsonormal"/>
    <w:basedOn w:val="Standard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Standard"/>
    <w:pPr>
      <w:spacing w:before="100" w:after="100"/>
    </w:pPr>
    <w:rPr>
      <w:sz w:val="24"/>
      <w:szCs w:val="24"/>
      <w:lang w:eastAsia="es-AR"/>
    </w:rPr>
  </w:style>
  <w:style w:type="paragraph" w:styleId="Textoindependiente2">
    <w:name w:val="Body Text 2"/>
    <w:basedOn w:val="Standard"/>
    <w:pPr>
      <w:spacing w:after="120" w:line="480" w:lineRule="auto"/>
    </w:pPr>
    <w:rPr>
      <w:sz w:val="20"/>
      <w:szCs w:val="20"/>
      <w:lang w:val="es-ES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8"/>
      <w:szCs w:val="28"/>
      <w:lang w:val="es-AR" w:eastAsia="es-ES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8"/>
      <w:szCs w:val="28"/>
      <w:lang w:val="es-AR" w:eastAsia="es-ES"/>
    </w:rPr>
  </w:style>
  <w:style w:type="character" w:styleId="nfasis">
    <w:name w:val="Emphasis"/>
    <w:basedOn w:val="Fuentedeprrafopredeter"/>
    <w:rPr>
      <w:i/>
      <w:iCs/>
    </w:rPr>
  </w:style>
  <w:style w:type="character" w:customStyle="1" w:styleId="Textoindependiente2Car">
    <w:name w:val="Texto independiente 2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rPr>
      <w:color w:val="605E5C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AsuntodelcomentarioCar">
    <w:name w:val="Asunto del comentario Car"/>
    <w:basedOn w:val="TextocomentarioCar"/>
    <w:rPr>
      <w:rFonts w:ascii="Times New Roman" w:eastAsia="Times New Roman" w:hAnsi="Times New Roman" w:cs="Times New Roman"/>
      <w:b/>
      <w:bCs/>
      <w:sz w:val="20"/>
      <w:szCs w:val="20"/>
      <w:lang w:val="es-AR" w:eastAsia="es-ES"/>
    </w:rPr>
  </w:style>
  <w:style w:type="character" w:customStyle="1" w:styleId="TextodegloboCar">
    <w:name w:val="Texto de globo Car"/>
    <w:basedOn w:val="Fuentedeprrafopredeter"/>
    <w:rPr>
      <w:rFonts w:ascii="Segoe UI" w:eastAsia="Times New Roman" w:hAnsi="Segoe UI" w:cs="Segoe UI"/>
      <w:sz w:val="18"/>
      <w:szCs w:val="18"/>
      <w:lang w:val="es-AR" w:eastAsia="es-ES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  <w:sz w:val="24"/>
      <w:szCs w:val="24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Vani</cp:lastModifiedBy>
  <cp:revision>1</cp:revision>
  <cp:lastPrinted>2020-03-13T13:54:00Z</cp:lastPrinted>
  <dcterms:created xsi:type="dcterms:W3CDTF">2020-03-19T09:38:00Z</dcterms:created>
  <dcterms:modified xsi:type="dcterms:W3CDTF">2020-04-15T12:05:00Z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eXPerienciaUE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